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0E" w:rsidRPr="00D45E76" w:rsidRDefault="00A3700E" w:rsidP="00A3700E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ANEXO IV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 xml:space="preserve">1. Nos casos de Obras e serviços de engenharia, deverá o processo ser </w:t>
      </w:r>
      <w:proofErr w:type="gramStart"/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instruído</w:t>
      </w:r>
      <w:proofErr w:type="gramEnd"/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  <w:proofErr w:type="gramStart"/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com</w:t>
      </w:r>
      <w:proofErr w:type="gramEnd"/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a)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Medição assinada pelo responsável técnico da Contratada, devidamente ratificada pelos fiscais da obra, previamente constituídos;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b)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Memória de cálculo correlata à medição que se pretende adimplir;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c)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Cronograma físico-financeiro;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d)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Plantas e demais documentos congêneres, se for o caso;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e)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Ordem de Início;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 xml:space="preserve">f) 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Ordem de </w:t>
      </w:r>
      <w:proofErr w:type="spellStart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Paralização</w:t>
      </w:r>
      <w:proofErr w:type="spellEnd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e/ou Ordem de Reinício, quando houver;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g)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Ordem de Constituição da Comissão de Fiscalização;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h)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Termo de Recebimento Provisório e Termo de Recebimento Definitivo, quando for o caso;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i)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Comprovante de pagamento da ART do responsável técnico da Contratada;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j</w:t>
      </w:r>
      <w:r w:rsidRPr="00D45E76">
        <w:rPr>
          <w:rFonts w:ascii="Times New Roman" w:hAnsi="Times New Roman"/>
          <w:b/>
          <w:color w:val="201F1E"/>
        </w:rPr>
        <w:t xml:space="preserve">) 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Cópia dos instrumentos contratuais (contrato Administrativo, Termo Aditivo e/ou </w:t>
      </w:r>
      <w:proofErr w:type="spellStart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Apostilamento</w:t>
      </w:r>
      <w:proofErr w:type="spellEnd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);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k)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Diário de obra;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l)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Relatório fotográfico;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2. Nos casos de serviço comum/continuado, deverá o processo ser instruído com: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a)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 Relatório gerencial de acompanhamento da execução contratual, devidamente Subscrito pelos membros da Comissão de fiscalização, onde reste identificado o Serviço executado, sua adequação ao objeto licitado (contido no Termo de Referência), empenhado e contratado, especialmente acerca da quantidade, Qualidade, especificações técnicas, prazos de entrega e validade, identificação dos Usuários atendidos e os dias e locais de execução, certificados técnicos e de Agência reguladora, demais individualizações;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b)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 Relatório de ocorrência e cronograma físico-financeiro</w:t>
      </w:r>
      <w:proofErr w:type="gramStart"/>
      <w:r w:rsidRPr="00D45E76">
        <w:rPr>
          <w:rFonts w:ascii="Times New Roman" w:hAnsi="Times New Roman"/>
          <w:color w:val="201F1E"/>
          <w:bdr w:val="none" w:sz="0" w:space="0" w:color="auto" w:frame="1"/>
        </w:rPr>
        <w:t>, se houver</w:t>
      </w:r>
      <w:proofErr w:type="gramEnd"/>
      <w:r w:rsidRPr="00D45E76">
        <w:rPr>
          <w:rFonts w:ascii="Times New Roman" w:hAnsi="Times New Roman"/>
          <w:color w:val="201F1E"/>
          <w:bdr w:val="none" w:sz="0" w:space="0" w:color="auto" w:frame="1"/>
        </w:rPr>
        <w:t>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c)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 Cópia do instrumento contratual e demais instrumentos congêneres subsequentes ou cópia da publicação do extrato contratual vigente;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d)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 Cópia do Ato Administrativo que constituiu a comissão de fiscalização do Contrato Administrativo;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e)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 Cópia da Ordem de Serviço;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f)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 Relatório fotográfico e/ou documentação complementar (amostras, relatórios de sistema, mídia magnética ou impressa/gravada, etc.), se houver;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 xml:space="preserve">g) 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Relatório contendo o saldo contratual </w:t>
      </w:r>
      <w:proofErr w:type="gramStart"/>
      <w:r w:rsidRPr="00D45E76">
        <w:rPr>
          <w:rFonts w:ascii="Times New Roman" w:hAnsi="Times New Roman"/>
          <w:color w:val="201F1E"/>
          <w:bdr w:val="none" w:sz="0" w:space="0" w:color="auto" w:frame="1"/>
        </w:rPr>
        <w:t>do(</w:t>
      </w:r>
      <w:proofErr w:type="gramEnd"/>
      <w:r w:rsidRPr="00D45E76">
        <w:rPr>
          <w:rFonts w:ascii="Times New Roman" w:hAnsi="Times New Roman"/>
          <w:color w:val="201F1E"/>
          <w:bdr w:val="none" w:sz="0" w:space="0" w:color="auto" w:frame="1"/>
        </w:rPr>
        <w:t>s) serviço(s) contratado(s);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  <w:r w:rsidRPr="00D45E76">
        <w:rPr>
          <w:rFonts w:ascii="Times New Roman" w:hAnsi="Times New Roman"/>
          <w:b/>
          <w:color w:val="201F1E"/>
        </w:rPr>
        <w:t xml:space="preserve">h) </w:t>
      </w:r>
      <w:r w:rsidRPr="00D45E76">
        <w:rPr>
          <w:rFonts w:ascii="Times New Roman" w:hAnsi="Times New Roman"/>
          <w:color w:val="201F1E"/>
        </w:rPr>
        <w:t>Relatório contendo o saldo do empenho a ser liquidado bem como o histórico de pagamentos e empenhos anteriores;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Nos casos específicos, deverão ainda observar as seguintes recomendações: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I-Serviço de coleta de resíduo sólido e hospitalar (Lixo):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a)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Controle de pesagem;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b)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Mapa de apropriação dos resíduos junto ao aterro;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c)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Cópia das competentes licenças ambientais;</w:t>
      </w:r>
    </w:p>
    <w:p w:rsidR="00A3700E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</w:p>
    <w:p w:rsidR="00A3700E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II - Os serviços de locação de veículo automotor:</w:t>
      </w:r>
    </w:p>
    <w:p w:rsidR="00A3700E" w:rsidRDefault="00A3700E" w:rsidP="00A3700E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</w:pPr>
    </w:p>
    <w:p w:rsidR="00A3700E" w:rsidRPr="00D45E76" w:rsidRDefault="00A3700E" w:rsidP="00A3700E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201F1E"/>
          <w:sz w:val="24"/>
          <w:szCs w:val="24"/>
          <w:lang w:eastAsia="pt-BR"/>
        </w:rPr>
      </w:pPr>
      <w:r w:rsidRPr="00D45E76"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a)</w:t>
      </w:r>
      <w:r w:rsidRPr="00D45E76">
        <w:rPr>
          <w:rFonts w:ascii="Times New Roman" w:eastAsia="Times New Roman" w:hAnsi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Boletim Diário de Uso de Veículo – BDV: Relatório específico contendo a quilometragem inicial e final por dia utilizado, com a respectiva consolidação ao final do período de medição;</w:t>
      </w:r>
    </w:p>
    <w:p w:rsidR="00A3700E" w:rsidRPr="00D45E76" w:rsidRDefault="00A3700E" w:rsidP="00A3700E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b</w:t>
      </w:r>
      <w:r w:rsidRPr="00D45E76"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)</w:t>
      </w:r>
      <w:r w:rsidRPr="00D45E76">
        <w:rPr>
          <w:rFonts w:ascii="Times New Roman" w:eastAsia="Times New Roman" w:hAnsi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Relatório acerca das ocorrências, manutenções, substituições, quando realizadas:</w:t>
      </w:r>
    </w:p>
    <w:p w:rsidR="00A3700E" w:rsidRPr="00D45E76" w:rsidRDefault="00A3700E" w:rsidP="00A3700E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Cs/>
          <w:color w:val="201F1E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c</w:t>
      </w:r>
      <w:r w:rsidRPr="00D45E76"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) </w:t>
      </w:r>
      <w:r w:rsidRPr="00D45E76">
        <w:rPr>
          <w:rFonts w:ascii="Times New Roman" w:eastAsia="Times New Roman" w:hAnsi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Certificado de Registro e Licenciamento do Veículo (CRLV);</w:t>
      </w:r>
    </w:p>
    <w:p w:rsidR="00A3700E" w:rsidRPr="00D45E76" w:rsidRDefault="00A3700E" w:rsidP="00A3700E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color w:val="201F1E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>d</w:t>
      </w:r>
      <w:r w:rsidRPr="00D45E76"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) </w:t>
      </w:r>
      <w:r w:rsidRPr="00D45E76">
        <w:rPr>
          <w:rFonts w:ascii="Times New Roman" w:eastAsia="Times New Roman" w:hAnsi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Relatório fotográfico atualizado dos veículos contendo as identificações visuais oficiais, placa e </w:t>
      </w:r>
      <w:proofErr w:type="spellStart"/>
      <w:r w:rsidRPr="00D45E76">
        <w:rPr>
          <w:rFonts w:ascii="Times New Roman" w:eastAsia="Times New Roman" w:hAnsi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odômetro</w:t>
      </w:r>
      <w:proofErr w:type="spellEnd"/>
      <w:r w:rsidRPr="00D45E76">
        <w:rPr>
          <w:rFonts w:ascii="Times New Roman" w:eastAsia="Times New Roman" w:hAnsi="Times New Roman"/>
          <w:bCs/>
          <w:color w:val="201F1E"/>
          <w:sz w:val="24"/>
          <w:szCs w:val="24"/>
          <w:bdr w:val="none" w:sz="0" w:space="0" w:color="auto" w:frame="1"/>
          <w:lang w:eastAsia="pt-BR"/>
        </w:rPr>
        <w:t>;</w:t>
      </w:r>
      <w:r w:rsidRPr="00D45E76">
        <w:rPr>
          <w:rFonts w:ascii="Times New Roman" w:eastAsia="Times New Roman" w:hAnsi="Times New Roman"/>
          <w:b/>
          <w:bCs/>
          <w:color w:val="201F1E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A3700E" w:rsidRPr="00D45E76" w:rsidRDefault="00A3700E" w:rsidP="00A3700E">
      <w:pPr>
        <w:pStyle w:val="PargrafodaList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01F1E"/>
          <w:sz w:val="24"/>
          <w:szCs w:val="24"/>
          <w:lang w:eastAsia="pt-BR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III - Serviço de publicidade: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a)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Planos de mídia aprovados pelo gestor contratual;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b)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Entrega de todos os produtos originados da execução contratual, para fins de arquivo e acervo;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c)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Relatório operacional e discriminado da Contratada informado os valores dos serviços aprovados pelo plano de mídia, os valores das comissões e o valor do faturamento da Contratada;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 xml:space="preserve">IV- Locação de máquinas/equipamentos medidos por horas </w:t>
      </w:r>
      <w:proofErr w:type="gramStart"/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produtivas/improdutivas</w:t>
      </w:r>
      <w:proofErr w:type="gramEnd"/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a)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Identificação da quantidade de máquinas/equipamentos utilizados no período;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b)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Relatório dos aparelhos de GPS e </w:t>
      </w:r>
      <w:proofErr w:type="spellStart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Horimetro</w:t>
      </w:r>
      <w:proofErr w:type="spellEnd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das máquinas/equipamentos;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c)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Relatório dos serviços realizados, discriminando as horas produtivas e improdutivas;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 xml:space="preserve">d) 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Documento de propriedade da máquina/equipamento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 xml:space="preserve">e) 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Ordens de serviços, discriminando o serviço realizado, data, hora e local da prestação;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3. Nos casos de locações imobiliárias, deverá o processo ser instruído com: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a)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 Solicitação de pagamento, consignando no bojo da mesma a correta identificação do imóvel e do credor, a habilitação do credor ou preposto ou representante legal, a competência do aluguel, o valor, o número do contrato administrativo de origem, devidamente ratificada pelos fiscais do contrato;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color w:val="201F1E"/>
          <w:bdr w:val="none" w:sz="0" w:space="0" w:color="auto" w:frame="1"/>
        </w:rPr>
        <w:t>b)</w:t>
      </w:r>
      <w:r w:rsidRPr="00D45E76">
        <w:rPr>
          <w:rFonts w:ascii="Times New Roman" w:hAnsi="Times New Roman"/>
          <w:color w:val="201F1E"/>
          <w:bdr w:val="none" w:sz="0" w:space="0" w:color="auto" w:frame="1"/>
        </w:rPr>
        <w:t xml:space="preserve"> Declaração do gestor e da comissão de fiscalização do contrato de locação, consignando a destinação do imóvel objeto da locação, sua disponibilidade, o estado de conservação físico do imóvel, a competência do aluguel, o valor e o credor/locador;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c)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Cópia da publicação do extrato do instrumento contratual vigente;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d)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cópia do Ato Administrativo que constituiu a comissão de fiscalização do contrato;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  <w:proofErr w:type="gramStart"/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4.</w:t>
      </w:r>
      <w:proofErr w:type="gramEnd"/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Nos casos de entrega de material, deverá o processo ser instruído com: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201F1E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a)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Relatório gerencial (Termo de Recebimento) de acompanhamento da execução contratual, devidamente subscrito pelos membros da Comissão de fiscalização, contendo identificação do material entregue, o local e data de entrega, sua adequação ao objeto licitado (contido no Termo de Referência), empenhado e contratado, especialmente quanto </w:t>
      </w:r>
      <w:proofErr w:type="gramStart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a</w:t>
      </w:r>
      <w:proofErr w:type="gramEnd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quantidade, qualidade, especificações técnicas, prazos de entrega e validade. Certificados técnicos e de agência reguladora, e demais individualizações;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b)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Cópia do instrumento contratual ou cópia da publicação do extrato contratual, onde reste identificado o objeto licitado o valor contratado, as quantidades e especificações;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c)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Cópia do Ato Administrativo que constituiu a comissão de fiscalização do Contrato Administrativo;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color w:val="201F1E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d)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Cópia da Ordem de Fornecimento;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e)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Relatório fotográfico;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f)</w:t>
      </w: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Declaração disposta no anexo V dessa Instrução Normativa</w:t>
      </w:r>
      <w:proofErr w:type="gramStart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, se for</w:t>
      </w:r>
      <w:proofErr w:type="gramEnd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o caso;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/>
          <w:bCs/>
          <w:color w:val="201F1E"/>
          <w:bdr w:val="none" w:sz="0" w:space="0" w:color="auto" w:frame="1"/>
        </w:rPr>
        <w:t>5. Nos casos de precatório/RPV, deverá o processo ser instruído com: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a) Cópia da petição inicial do processo que gerou o precatório/RPV;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b) Decisão judicial que originou o pagamento do precatório/RPV;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c) Guia de depósito judicial;</w:t>
      </w:r>
    </w:p>
    <w:p w:rsidR="00A3700E" w:rsidRPr="00D45E76" w:rsidRDefault="00A3700E" w:rsidP="00A3700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d) Manifestação da Procuradoria Geral sobre o pagamento e seu valor;</w:t>
      </w:r>
    </w:p>
    <w:p w:rsidR="00D375EA" w:rsidRDefault="00A3700E"/>
    <w:sectPr w:rsidR="00D375EA" w:rsidSect="005F1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700E"/>
    <w:rsid w:val="00294107"/>
    <w:rsid w:val="004331A8"/>
    <w:rsid w:val="005F1D79"/>
    <w:rsid w:val="007965F7"/>
    <w:rsid w:val="00A3700E"/>
    <w:rsid w:val="00D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0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70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rpablo</dc:creator>
  <cp:lastModifiedBy>rpablo</cp:lastModifiedBy>
  <cp:revision>1</cp:revision>
  <dcterms:created xsi:type="dcterms:W3CDTF">2024-12-17T13:35:00Z</dcterms:created>
  <dcterms:modified xsi:type="dcterms:W3CDTF">2024-12-17T13:38:00Z</dcterms:modified>
</cp:coreProperties>
</file>